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126FB" w14:textId="77777777" w:rsidR="00866EAF" w:rsidRDefault="0057752A">
      <w:pPr>
        <w:jc w:val="center"/>
      </w:pPr>
      <w:r>
        <w:rPr>
          <w:b/>
          <w:sz w:val="32"/>
        </w:rPr>
        <w:t>KAREN R. HANSEN, JD, CC-P</w:t>
      </w:r>
    </w:p>
    <w:p w14:paraId="6D815D99" w14:textId="77777777" w:rsidR="00866EAF" w:rsidRDefault="0057752A">
      <w:pPr>
        <w:spacing w:after="120"/>
        <w:jc w:val="center"/>
      </w:pPr>
      <w:r>
        <w:t>Madison, MN (Remote) | 763-242-6013 | karenrhansenjd@outlook.com | linkedin.com/in/karen-hansen-5957505</w:t>
      </w:r>
    </w:p>
    <w:p w14:paraId="16F09E6F" w14:textId="77777777" w:rsidR="00866EAF" w:rsidRDefault="0057752A" w:rsidP="00D54895">
      <w:pPr>
        <w:spacing w:after="160"/>
        <w:ind w:right="-288"/>
      </w:pPr>
      <w:r>
        <w:rPr>
          <w:b/>
          <w:sz w:val="24"/>
        </w:rPr>
        <w:t>Director / Climate Lead | Climate Solutions Consulting | Scope 1–3 GHG Accounting + Disclosure Readiness</w:t>
      </w:r>
    </w:p>
    <w:p w14:paraId="27FAD8E0" w14:textId="77777777" w:rsidR="00866EAF" w:rsidRDefault="0057752A">
      <w:pPr>
        <w:spacing w:before="160" w:after="60"/>
      </w:pPr>
      <w:r>
        <w:rPr>
          <w:b/>
        </w:rPr>
        <w:t>PROFESSIONAL SUMMARY</w:t>
      </w:r>
    </w:p>
    <w:p w14:paraId="5D5EC6F7" w14:textId="77777777" w:rsidR="00866EAF" w:rsidRDefault="0057752A">
      <w:r>
        <w:t>Climate and energy transition leader with 10+ years of experience directing enterprise decarbonization strategy, GHG accounting governance, and climate disclosure readiness across complex utility and energy environments. Proven record delivering measurable emissions outcomes (&gt;50% reduction in projected carbon emissions), strengthening inventory integrity and controls, and translating evolving standards into executive-ready strategy and implementation decisions. Trusted advisor to senior leadership and exte</w:t>
      </w:r>
      <w:r>
        <w:t>rnal stakeholders; remote-ready and client-facing leader with strong delivery discipline and decision-oriented communications.</w:t>
      </w:r>
    </w:p>
    <w:p w14:paraId="1803D769" w14:textId="77777777" w:rsidR="00866EAF" w:rsidRDefault="0057752A">
      <w:pPr>
        <w:spacing w:before="160" w:after="60"/>
      </w:pPr>
      <w:r>
        <w:rPr>
          <w:b/>
        </w:rPr>
        <w:t>SELECTED IMPACT</w:t>
      </w:r>
    </w:p>
    <w:p w14:paraId="666B9D47" w14:textId="77777777" w:rsidR="00866EAF" w:rsidRDefault="0057752A">
      <w:pPr>
        <w:pStyle w:val="ListBullet"/>
        <w:spacing w:after="20"/>
      </w:pPr>
      <w:r>
        <w:t>Delivered enterprise decarbonization strategy resulting in &gt;50% reduction in projected carbon emissions (aligned to IRP, capital planning, and reliability).</w:t>
      </w:r>
    </w:p>
    <w:p w14:paraId="497D873B" w14:textId="77777777" w:rsidR="00866EAF" w:rsidRDefault="0057752A">
      <w:pPr>
        <w:pStyle w:val="ListBullet"/>
        <w:spacing w:after="20"/>
      </w:pPr>
      <w:r>
        <w:t>Strengthened GHG inventory governance and REC portfolio controls to improve data integrity, audit readiness, and defensibility of reporting.</w:t>
      </w:r>
    </w:p>
    <w:p w14:paraId="6FB9C57C" w14:textId="77777777" w:rsidR="00866EAF" w:rsidRDefault="0057752A">
      <w:pPr>
        <w:pStyle w:val="ListBullet"/>
        <w:spacing w:after="20"/>
      </w:pPr>
      <w:r>
        <w:t>Standardized enterprise GHG inventories and customer Scope 2 emissions disclosures (lbs/MWh) for improved transparency and consistency.</w:t>
      </w:r>
    </w:p>
    <w:p w14:paraId="44DA2B32" w14:textId="77777777" w:rsidR="00866EAF" w:rsidRDefault="0057752A">
      <w:pPr>
        <w:pStyle w:val="ListBullet"/>
        <w:spacing w:after="20"/>
      </w:pPr>
      <w:r>
        <w:t>Chaired a $3M+ collaborative climate and energy research portfolio, aligning stakeholders to outcomes and delivery.</w:t>
      </w:r>
    </w:p>
    <w:p w14:paraId="00B7EE77" w14:textId="77777777" w:rsidR="00866EAF" w:rsidRDefault="0057752A">
      <w:pPr>
        <w:spacing w:before="160" w:after="60"/>
      </w:pPr>
      <w:r>
        <w:rPr>
          <w:b/>
        </w:rPr>
        <w:t>CORE EXPERTISE</w:t>
      </w:r>
    </w:p>
    <w:p w14:paraId="2B4401C8" w14:textId="77777777" w:rsidR="00866EAF" w:rsidRDefault="0057752A">
      <w:pPr>
        <w:pStyle w:val="ListBullet"/>
        <w:spacing w:after="20"/>
      </w:pPr>
      <w:r>
        <w:t>GHG Accounting &amp; Footprinting: Scope 1–3 governance, inventory controls, boundary setting, methodology documentation, QA/QC, audit readiness</w:t>
      </w:r>
    </w:p>
    <w:p w14:paraId="6B05121F" w14:textId="56D0C088" w:rsidR="00866EAF" w:rsidRDefault="0057752A">
      <w:pPr>
        <w:pStyle w:val="ListBullet"/>
        <w:spacing w:after="20"/>
      </w:pPr>
      <w:r>
        <w:t>Disclosure &amp; Reporting: GHG Protocol involvement/expert forums, The Climate Registry, TCFD-aligned governance, ISSB/IFRS</w:t>
      </w:r>
      <w:r w:rsidR="00D54895">
        <w:t xml:space="preserve"> S1 and </w:t>
      </w:r>
      <w:r>
        <w:t>S2 awareness; CSRD/ESRS readiness exposure</w:t>
      </w:r>
    </w:p>
    <w:p w14:paraId="3C952B02" w14:textId="77777777" w:rsidR="00866EAF" w:rsidRDefault="0057752A">
      <w:pPr>
        <w:pStyle w:val="ListBullet"/>
        <w:spacing w:after="20"/>
      </w:pPr>
      <w:r>
        <w:t>Decarbonization Strategy: roadmap development, abatement planning, IRP integration, target alignment, capital/reliability linkage</w:t>
      </w:r>
    </w:p>
    <w:p w14:paraId="419FB1A3" w14:textId="77777777" w:rsidR="00866EAF" w:rsidRDefault="0057752A">
      <w:pPr>
        <w:pStyle w:val="ListBullet"/>
        <w:spacing w:after="20"/>
      </w:pPr>
      <w:r>
        <w:t>Renewables &amp; Instruments: REC portfolio governance; NAESB REC standards and contracting frameworks</w:t>
      </w:r>
    </w:p>
    <w:p w14:paraId="266E7FC0" w14:textId="77777777" w:rsidR="00866EAF" w:rsidRDefault="0057752A">
      <w:pPr>
        <w:pStyle w:val="ListBullet"/>
        <w:spacing w:after="20"/>
      </w:pPr>
      <w:r>
        <w:t>Consulting Delivery Leadership: scoping, workplans, stakeholder facilitation, executive briefings, technical review</w:t>
      </w:r>
    </w:p>
    <w:p w14:paraId="7827B1CD" w14:textId="77777777" w:rsidR="00866EAF" w:rsidRDefault="0057752A">
      <w:pPr>
        <w:spacing w:before="160" w:after="60"/>
      </w:pPr>
      <w:r>
        <w:rPr>
          <w:b/>
        </w:rPr>
        <w:t>TOOLS &amp; ANALYTICS</w:t>
      </w:r>
    </w:p>
    <w:p w14:paraId="25DD0980" w14:textId="2176FFAB" w:rsidR="00866EAF" w:rsidRDefault="0057752A">
      <w:r>
        <w:t>Excel (modeling, scenario analysis, governance tracking); PowerPoint (executive-ready reporting); SharePoint/Teams (collaboration); emissions factor libraries and inventory documentation systems; ESG reporting and carbon accounting platforms (user/SME exposure).</w:t>
      </w:r>
    </w:p>
    <w:p w14:paraId="2BC22913" w14:textId="77777777" w:rsidR="00866EAF" w:rsidRDefault="0057752A">
      <w:pPr>
        <w:spacing w:before="160" w:after="60"/>
      </w:pPr>
      <w:r>
        <w:rPr>
          <w:b/>
        </w:rPr>
        <w:t>CLIENT DELIVERY &amp; ENGAGEMENT HIGHLIGHTS</w:t>
      </w:r>
    </w:p>
    <w:p w14:paraId="52AE92DF" w14:textId="77777777" w:rsidR="00866EAF" w:rsidRDefault="0057752A">
      <w:pPr>
        <w:pStyle w:val="ListBullet"/>
        <w:spacing w:after="20"/>
      </w:pPr>
      <w:r>
        <w:t>Led multi-stakeholder climate governance initiatives across legal, finance, planning, operations, and compliance—clarifying scope, timelines, decision rights, and documentation standards.</w:t>
      </w:r>
    </w:p>
    <w:p w14:paraId="0E454E1B" w14:textId="77777777" w:rsidR="00866EAF" w:rsidRDefault="0057752A">
      <w:pPr>
        <w:pStyle w:val="ListBullet"/>
        <w:spacing w:after="20"/>
      </w:pPr>
      <w:r>
        <w:t>Produced executive-ready deliverables translating standards and market developments into actionable governance structures, risk controls, and implementation decisions.</w:t>
      </w:r>
    </w:p>
    <w:p w14:paraId="13D2142A" w14:textId="77777777" w:rsidR="00866EAF" w:rsidRDefault="0057752A">
      <w:pPr>
        <w:pStyle w:val="ListBullet"/>
        <w:spacing w:after="20"/>
      </w:pPr>
      <w:r>
        <w:lastRenderedPageBreak/>
        <w:t>Strengthened internal controls and inventory governance to support audit readiness under customer, lender, insurer, regulator, and board scrutiny.</w:t>
      </w:r>
    </w:p>
    <w:p w14:paraId="7D5C4521" w14:textId="77777777" w:rsidR="00866EAF" w:rsidRDefault="0057752A">
      <w:pPr>
        <w:spacing w:before="160" w:after="60"/>
      </w:pPr>
      <w:r>
        <w:rPr>
          <w:b/>
        </w:rPr>
        <w:t>PROFESSIONAL EXPERIENCE</w:t>
      </w:r>
    </w:p>
    <w:p w14:paraId="57D4F3D4" w14:textId="77777777" w:rsidR="00866EAF" w:rsidRDefault="0057752A">
      <w:pPr>
        <w:spacing w:before="120" w:after="0"/>
      </w:pPr>
      <w:r>
        <w:rPr>
          <w:b/>
        </w:rPr>
        <w:t>TENNESSEE VALLEY AUTHORITY (TVA) — Chattanooga, TN</w:t>
      </w:r>
    </w:p>
    <w:p w14:paraId="1F9AFB23" w14:textId="77777777" w:rsidR="00866EAF" w:rsidRDefault="0057752A">
      <w:pPr>
        <w:spacing w:after="40"/>
      </w:pPr>
      <w:r>
        <w:rPr>
          <w:i/>
        </w:rPr>
        <w:t>Senior Program Manager, Environment &amp; Energy Policy | 03/2014 – Present</w:t>
      </w:r>
    </w:p>
    <w:p w14:paraId="17A12F81" w14:textId="77777777" w:rsidR="00866EAF" w:rsidRDefault="0057752A">
      <w:pPr>
        <w:pStyle w:val="ListBullet"/>
        <w:spacing w:after="20"/>
      </w:pPr>
      <w:r>
        <w:t>Directed enterprise climate and decarbonization strategy, aligning emissions targets with integrated resource planning (IRP), capital investment decisions, and reliability requirements; delivered &gt;50% reduction in projected carbon emissions through implementation roadmaps.</w:t>
      </w:r>
    </w:p>
    <w:p w14:paraId="1DA82DC6" w14:textId="77777777" w:rsidR="00866EAF" w:rsidRDefault="0057752A">
      <w:pPr>
        <w:pStyle w:val="ListBullet"/>
        <w:spacing w:after="20"/>
      </w:pPr>
      <w:r>
        <w:t>Served as executive authority on carbon accounting and emissions disclosure; advised senior leadership and represented TVA with federal agencies and external stakeholders on climate risk, program governance, and reporting credibility.</w:t>
      </w:r>
    </w:p>
    <w:p w14:paraId="57F0CA76" w14:textId="77777777" w:rsidR="00866EAF" w:rsidRDefault="0057752A">
      <w:pPr>
        <w:pStyle w:val="ListBullet"/>
        <w:spacing w:after="20"/>
      </w:pPr>
      <w:r>
        <w:t>Led cross-functional delivery across generation, planning, legal, finance, and compliance to strengthen climate governance and readiness for evolving stakeholder expectations, including disclosure narrative integrity and decision-useful reporting.</w:t>
      </w:r>
    </w:p>
    <w:p w14:paraId="4B940049" w14:textId="77777777" w:rsidR="00866EAF" w:rsidRDefault="0057752A">
      <w:pPr>
        <w:pStyle w:val="ListBullet"/>
        <w:spacing w:after="20"/>
      </w:pPr>
      <w:r>
        <w:t>Strengthened enterprise GHG accounting governance and REC portfolio management controls, improving data integrity, documentation discipline, and audit readiness for executive reporting and external filings.</w:t>
      </w:r>
    </w:p>
    <w:p w14:paraId="07DBCE2F" w14:textId="77777777" w:rsidR="00866EAF" w:rsidRDefault="0057752A">
      <w:pPr>
        <w:pStyle w:val="ListBullet"/>
        <w:spacing w:after="20"/>
      </w:pPr>
      <w:r>
        <w:t>Chaired a $3M+ collaborative climate and energy research portfolio, aligning stakeholders, milestones, and outcomes; translated technical outputs into implementable policy and strategy decisions.</w:t>
      </w:r>
    </w:p>
    <w:p w14:paraId="16819680" w14:textId="77777777" w:rsidR="00866EAF" w:rsidRDefault="0057752A">
      <w:pPr>
        <w:spacing w:before="120" w:after="0"/>
      </w:pPr>
      <w:r>
        <w:rPr>
          <w:b/>
        </w:rPr>
        <w:t>TENNESSEE VALLEY AUTHORITY (TVA) — Chattanooga, TN</w:t>
      </w:r>
    </w:p>
    <w:p w14:paraId="04777389" w14:textId="77777777" w:rsidR="00866EAF" w:rsidRDefault="0057752A">
      <w:pPr>
        <w:spacing w:after="40"/>
      </w:pPr>
      <w:r>
        <w:rPr>
          <w:i/>
        </w:rPr>
        <w:t>Senior Specialist, Clean Energy | 01/2011 – 03/2014</w:t>
      </w:r>
    </w:p>
    <w:p w14:paraId="759809BC" w14:textId="77777777" w:rsidR="00866EAF" w:rsidRDefault="0057752A">
      <w:pPr>
        <w:pStyle w:val="ListBullet"/>
        <w:spacing w:after="20"/>
      </w:pPr>
      <w:r>
        <w:t>Directed clean energy policy and climate initiatives supporting enterprise emissions strategy, regulatory obligations, and corporate reporting expectations.</w:t>
      </w:r>
    </w:p>
    <w:p w14:paraId="64BA6FA0" w14:textId="77777777" w:rsidR="00866EAF" w:rsidRDefault="0057752A">
      <w:pPr>
        <w:pStyle w:val="ListBullet"/>
        <w:spacing w:after="20"/>
      </w:pPr>
      <w:r>
        <w:t>Standardized enterprise GHG inventories and customer Scope 2 emissions disclosures (lbs/MWh), improving methodological consistency, transparency, and internal alignment across business units.</w:t>
      </w:r>
    </w:p>
    <w:p w14:paraId="5F59308E" w14:textId="77777777" w:rsidR="00866EAF" w:rsidRDefault="0057752A">
      <w:pPr>
        <w:pStyle w:val="ListBullet"/>
        <w:spacing w:after="20"/>
      </w:pPr>
      <w:r>
        <w:t>Evaluated incentives, regulatory developments, and policy scenarios to guide renewable energy and energy efficiency investment decisions and implementation prioritization.</w:t>
      </w:r>
    </w:p>
    <w:p w14:paraId="7BA892D8" w14:textId="77777777" w:rsidR="00866EAF" w:rsidRDefault="0057752A">
      <w:pPr>
        <w:pStyle w:val="ListBullet"/>
        <w:spacing w:after="20"/>
      </w:pPr>
      <w:r>
        <w:t>Prepared executive briefings translating complex climate and emissions data into actionable policy, disclosure, risk, and investment implications.</w:t>
      </w:r>
    </w:p>
    <w:p w14:paraId="0D1671D1" w14:textId="77777777" w:rsidR="00866EAF" w:rsidRDefault="0057752A">
      <w:pPr>
        <w:spacing w:before="120" w:after="0"/>
      </w:pPr>
      <w:r>
        <w:rPr>
          <w:b/>
        </w:rPr>
        <w:t>CONSERVIS — Minneapolis, MN</w:t>
      </w:r>
    </w:p>
    <w:p w14:paraId="31191074" w14:textId="77777777" w:rsidR="00866EAF" w:rsidRDefault="0057752A">
      <w:pPr>
        <w:spacing w:after="40"/>
      </w:pPr>
      <w:r>
        <w:rPr>
          <w:i/>
        </w:rPr>
        <w:t>Vice President, Advisory Services | 10/2009 – 09/2010</w:t>
      </w:r>
    </w:p>
    <w:p w14:paraId="29990E74" w14:textId="77777777" w:rsidR="00866EAF" w:rsidRDefault="0057752A">
      <w:pPr>
        <w:pStyle w:val="ListBullet"/>
        <w:spacing w:after="20"/>
      </w:pPr>
      <w:r>
        <w:t>Led sustainability, GHG management, and compliance advisory services for energy and utility clients; ensured deliverables were grounded in defensible methodologies and implementation-ready recommendations.</w:t>
      </w:r>
    </w:p>
    <w:p w14:paraId="6FCC4996" w14:textId="77777777" w:rsidR="00866EAF" w:rsidRDefault="0057752A">
      <w:pPr>
        <w:pStyle w:val="ListBullet"/>
        <w:spacing w:after="20"/>
      </w:pPr>
      <w:r>
        <w:t>Built scalable delivery infrastructure across processes, systems, staffing models, and governance to support growth and consistent client outcomes.</w:t>
      </w:r>
    </w:p>
    <w:p w14:paraId="0B2FEA58" w14:textId="77777777" w:rsidR="00866EAF" w:rsidRDefault="0057752A">
      <w:pPr>
        <w:spacing w:before="120" w:after="0"/>
      </w:pPr>
      <w:r>
        <w:rPr>
          <w:b/>
        </w:rPr>
        <w:t>XCEL ENERGY — Minneapolis, MN</w:t>
      </w:r>
    </w:p>
    <w:p w14:paraId="483DE658" w14:textId="77777777" w:rsidR="00866EAF" w:rsidRDefault="0057752A">
      <w:pPr>
        <w:spacing w:after="40"/>
      </w:pPr>
      <w:r>
        <w:rPr>
          <w:i/>
        </w:rPr>
        <w:t>Senior Environmental Analyst | 09/1999 – 10/2009</w:t>
      </w:r>
    </w:p>
    <w:p w14:paraId="09BA968A" w14:textId="77777777" w:rsidR="00866EAF" w:rsidRDefault="0057752A">
      <w:pPr>
        <w:pStyle w:val="ListBullet"/>
        <w:spacing w:after="20"/>
      </w:pPr>
      <w:r>
        <w:t>Managed corporate climate strategy analysis including legislative monitoring, regulatory compliance assessment, and emissions reduction planning across operating companies.</w:t>
      </w:r>
    </w:p>
    <w:p w14:paraId="562DD412" w14:textId="77777777" w:rsidR="00866EAF" w:rsidRDefault="0057752A">
      <w:pPr>
        <w:pStyle w:val="ListBullet"/>
        <w:spacing w:after="20"/>
      </w:pPr>
      <w:r>
        <w:t>Coordinated enterprise GHG inventory development, accounting protocols, and emissions tracking systems to support regulatory and voluntary reporting and internal decision-making.</w:t>
      </w:r>
    </w:p>
    <w:p w14:paraId="372D8943" w14:textId="77777777" w:rsidR="00866EAF" w:rsidRDefault="0057752A">
      <w:pPr>
        <w:pStyle w:val="ListBullet"/>
        <w:spacing w:after="20"/>
      </w:pPr>
      <w:r>
        <w:t>Represented Xcel in national climate forums and technical stakeholder groups including The Climate Registry and WRI GHG Protocol initiatives.</w:t>
      </w:r>
    </w:p>
    <w:p w14:paraId="69E6F758" w14:textId="77777777" w:rsidR="00D54895" w:rsidRDefault="00D54895">
      <w:pPr>
        <w:rPr>
          <w:b/>
        </w:rPr>
      </w:pPr>
      <w:r>
        <w:rPr>
          <w:b/>
        </w:rPr>
        <w:lastRenderedPageBreak/>
        <w:br w:type="page"/>
      </w:r>
    </w:p>
    <w:p w14:paraId="68F79732" w14:textId="481BB476" w:rsidR="00866EAF" w:rsidRDefault="0057752A">
      <w:pPr>
        <w:spacing w:before="120" w:after="0"/>
      </w:pPr>
      <w:r>
        <w:rPr>
          <w:b/>
        </w:rPr>
        <w:t>GREAT RIVER ENERGY — Maple Grove, MN</w:t>
      </w:r>
    </w:p>
    <w:p w14:paraId="7D703A6B" w14:textId="77777777" w:rsidR="00866EAF" w:rsidRDefault="0057752A">
      <w:pPr>
        <w:spacing w:after="40"/>
      </w:pPr>
      <w:r>
        <w:rPr>
          <w:i/>
        </w:rPr>
        <w:t>Environmental Scientist | 09/1994 – 10/1998</w:t>
      </w:r>
    </w:p>
    <w:p w14:paraId="557E123B" w14:textId="77777777" w:rsidR="00866EAF" w:rsidRDefault="0057752A">
      <w:pPr>
        <w:pStyle w:val="ListBullet"/>
        <w:spacing w:after="20"/>
      </w:pPr>
      <w:r>
        <w:t>Implemented ISO 14001 Environmental Management System; achieved third-party certification for a 1,100-MW coal-fired generation facility.</w:t>
      </w:r>
    </w:p>
    <w:p w14:paraId="608E48E8" w14:textId="77777777" w:rsidR="00866EAF" w:rsidRDefault="0057752A">
      <w:pPr>
        <w:pStyle w:val="ListBullet"/>
        <w:spacing w:after="20"/>
      </w:pPr>
      <w:r>
        <w:t>Led four-year contested case as principal technical expert for coalition of electric cooperatives; negotiated and administered Climate Challenge MOU with the U.S. Department of Energy.</w:t>
      </w:r>
    </w:p>
    <w:p w14:paraId="4D8FE690" w14:textId="77777777" w:rsidR="00866EAF" w:rsidRDefault="0057752A">
      <w:pPr>
        <w:spacing w:before="160" w:after="60"/>
      </w:pPr>
      <w:r>
        <w:rPr>
          <w:b/>
        </w:rPr>
        <w:t>GOVERNANCE LEADERSHIP</w:t>
      </w:r>
    </w:p>
    <w:p w14:paraId="248D0CF0" w14:textId="77777777" w:rsidR="00866EAF" w:rsidRDefault="0057752A">
      <w:pPr>
        <w:spacing w:before="120" w:after="0"/>
      </w:pPr>
      <w:r>
        <w:rPr>
          <w:b/>
        </w:rPr>
        <w:t>NORTH AMERICAN ENERGY STANDARDS BOARD (NAESB) — Remote</w:t>
      </w:r>
    </w:p>
    <w:p w14:paraId="523618DF" w14:textId="77777777" w:rsidR="00866EAF" w:rsidRDefault="0057752A">
      <w:pPr>
        <w:spacing w:after="40"/>
      </w:pPr>
      <w:r>
        <w:rPr>
          <w:i/>
        </w:rPr>
        <w:t>Board of Directors, Wholesale Electric Quadrant | 11/2017 – 01/2024</w:t>
      </w:r>
    </w:p>
    <w:p w14:paraId="0064FA02" w14:textId="77777777" w:rsidR="00866EAF" w:rsidRDefault="0057752A">
      <w:pPr>
        <w:pStyle w:val="ListBullet"/>
        <w:spacing w:after="20"/>
      </w:pPr>
      <w:r>
        <w:t>Contributed to development of national market standards for wholesale electricity transactions; supported NAESB Renewable Energy Credit (REC) Base Contract to improve efficiency and legal clarity.</w:t>
      </w:r>
    </w:p>
    <w:p w14:paraId="3CD7CDC8" w14:textId="77777777" w:rsidR="00866EAF" w:rsidRDefault="0057752A">
      <w:pPr>
        <w:spacing w:before="160" w:after="60"/>
      </w:pPr>
      <w:r>
        <w:rPr>
          <w:b/>
        </w:rPr>
        <w:t>EDUCATION</w:t>
      </w:r>
    </w:p>
    <w:p w14:paraId="3DFE4E32" w14:textId="77777777" w:rsidR="00866EAF" w:rsidRDefault="0057752A">
      <w:r>
        <w:t>Juris Doctor (JD), Mitchell Hamline School of Law (Journal of Public Law and Policy), 1994</w:t>
      </w:r>
    </w:p>
    <w:p w14:paraId="600AA28A" w14:textId="77777777" w:rsidR="00866EAF" w:rsidRDefault="0057752A">
      <w:r>
        <w:t>B.A., Biology (Minor: Political Science), Southwest Minnesota State University, 1990</w:t>
      </w:r>
    </w:p>
    <w:p w14:paraId="130A61D3" w14:textId="77777777" w:rsidR="00866EAF" w:rsidRDefault="0057752A">
      <w:pPr>
        <w:spacing w:before="160" w:after="60"/>
      </w:pPr>
      <w:r>
        <w:rPr>
          <w:b/>
        </w:rPr>
        <w:t>LICENSURE &amp; CERTIFICATIONS</w:t>
      </w:r>
    </w:p>
    <w:p w14:paraId="10579F64" w14:textId="77777777" w:rsidR="00866EAF" w:rsidRDefault="0057752A">
      <w:pPr>
        <w:pStyle w:val="ListBullet"/>
        <w:spacing w:after="20"/>
      </w:pPr>
      <w:r>
        <w:t>Minnesota Attorney License</w:t>
      </w:r>
    </w:p>
    <w:p w14:paraId="0C8A7A9A" w14:textId="77777777" w:rsidR="00866EAF" w:rsidRDefault="0057752A">
      <w:pPr>
        <w:pStyle w:val="ListBullet"/>
        <w:spacing w:after="20"/>
      </w:pPr>
      <w:r>
        <w:t>Climate Change Professional (CC-P), Association of Climate Change Officers</w:t>
      </w:r>
    </w:p>
    <w:sectPr w:rsidR="00866EAF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6546422">
    <w:abstractNumId w:val="8"/>
  </w:num>
  <w:num w:numId="2" w16cid:durableId="969478255">
    <w:abstractNumId w:val="6"/>
  </w:num>
  <w:num w:numId="3" w16cid:durableId="961153393">
    <w:abstractNumId w:val="5"/>
  </w:num>
  <w:num w:numId="4" w16cid:durableId="39324338">
    <w:abstractNumId w:val="4"/>
  </w:num>
  <w:num w:numId="5" w16cid:durableId="1885827215">
    <w:abstractNumId w:val="7"/>
  </w:num>
  <w:num w:numId="6" w16cid:durableId="38209977">
    <w:abstractNumId w:val="3"/>
  </w:num>
  <w:num w:numId="7" w16cid:durableId="1286812113">
    <w:abstractNumId w:val="2"/>
  </w:num>
  <w:num w:numId="8" w16cid:durableId="415984729">
    <w:abstractNumId w:val="1"/>
  </w:num>
  <w:num w:numId="9" w16cid:durableId="11803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752A"/>
    <w:rsid w:val="00866EAF"/>
    <w:rsid w:val="00AA1D8D"/>
    <w:rsid w:val="00B47730"/>
    <w:rsid w:val="00CB0664"/>
    <w:rsid w:val="00D07EE9"/>
    <w:rsid w:val="00D548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A46941"/>
  <w14:defaultImageDpi w14:val="300"/>
  <w15:docId w15:val="{48854C58-DE42-4E60-A0FA-681E8DC5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1178</Words>
  <Characters>5928</Characters>
  <Application>Microsoft Office Word</Application>
  <DocSecurity>0</DocSecurity>
  <Lines>126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Karen Hansen</cp:lastModifiedBy>
  <cp:revision>2</cp:revision>
  <dcterms:created xsi:type="dcterms:W3CDTF">2026-01-12T02:01:00Z</dcterms:created>
  <dcterms:modified xsi:type="dcterms:W3CDTF">2026-01-12T02:01:00Z</dcterms:modified>
  <cp:category/>
</cp:coreProperties>
</file>